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id="0" w:name="PaperTitle"/>
      <w:bookmarkStart w:id="6" w:name="_GoBack"/>
      <w:bookmarkEnd w:id="6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内科专业技术人才晋升高级职称工作量要求</w:t>
      </w:r>
      <w:bookmarkEnd w:id="0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1" w:name="RealName"/>
      <w:r>
        <w:rPr>
          <w:rFonts w:hint="eastAsia" w:ascii="宋体" w:hAnsi="宋体"/>
          <w:bCs/>
          <w:sz w:val="24"/>
        </w:rPr>
        <w:t xml:space="preserve">陈妙云                  </w:t>
      </w:r>
      <w:bookmarkEnd w:id="1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2" w:name="Department"/>
      <w:r>
        <w:rPr>
          <w:rFonts w:hint="eastAsia" w:ascii="宋体" w:hAnsi="宋体"/>
          <w:bCs/>
          <w:sz w:val="24"/>
        </w:rPr>
        <w:t>重症医学科</w:t>
      </w:r>
      <w:bookmarkEnd w:id="2"/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3" w:name="DeclareQualification"/>
      <w:r>
        <w:rPr>
          <w:rFonts w:hint="eastAsia" w:ascii="宋体" w:hAnsi="宋体"/>
          <w:bCs/>
          <w:sz w:val="24"/>
        </w:rPr>
        <w:t xml:space="preserve">副主任医师           </w:t>
      </w:r>
      <w:bookmarkEnd w:id="3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4" w:name="DeclareSpeciality"/>
      <w:r>
        <w:rPr>
          <w:rFonts w:hint="eastAsia" w:ascii="宋体" w:hAnsi="宋体"/>
          <w:bCs/>
          <w:sz w:val="24"/>
        </w:rPr>
        <w:t>重症医学</w:t>
      </w:r>
      <w:bookmarkEnd w:id="4"/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id="5" w:name="PersonProperties"/>
      <w:r>
        <w:rPr>
          <w:rFonts w:hint="eastAsia" w:ascii="宋体" w:hAnsi="宋体"/>
          <w:bCs/>
          <w:sz w:val="24"/>
        </w:rPr>
        <w:t>有病房</w:t>
      </w:r>
      <w:bookmarkEnd w:id="5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2"/>
        <w:gridCol w:w="1061"/>
        <w:gridCol w:w="630"/>
        <w:gridCol w:w="522"/>
        <w:gridCol w:w="1170"/>
        <w:gridCol w:w="1147"/>
        <w:gridCol w:w="36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类别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晋升副主任医师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非手术为主临床专业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门诊工作量（有病房）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普通内科、心血管内科、呼吸内科、神经内科、消化内科、血液病学、肾内科学、内分泌学、风湿与临床免疫学、结核病学、急诊医学、康复医学、老年病学、全科医学（临床类别）、肿瘤内科、皮肤与性病学、精神病学（含心理卫生）、传染病学、职业病学、预防保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出院（含转出）人数（参与或作为治疗组组长）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普通内科、心血管内科、呼吸内科、神经内科、消化内科、血液病学、肾内科学、内分泌学、风湿与临床免疫学、结核病学、急诊医学、康复医学、老年病学、全科医学（临床类别）、肿瘤内科、皮肤与性病学、精神病学（含心理卫生）、传染病学、职业病学、预防保健、重症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门诊工作量（无病房）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心血管内科、呼吸内科、消化内科、肾内科学、传染病学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神经内科、血液病学、内分泌学、风湿与临床免疫学、肿瘤内科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普通内科、老年病学、全科医学（临床类别）、急诊医学、结核病学、康复医学、精神病学（含心理卫生）、职业病学、预防保健、皮肤与性病学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手术/操作人次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消化内科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内镜下治疗手术，晋升副主任医师至少500例。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内镜下治疗手术，晋升主任医师至少800例。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消化内科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呼吸内科、心血管内科、结核病学、皮肤与性病学、康复医学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肾内科学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参与诊疗患者人数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急诊医学、重症医学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签发个人体检报告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20000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职业病学、预防保健（职业病临床门诊、职业健康监护、职业病诊断）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编写或审核职业健康检查总结报告书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  <w:rsid w:val="0E26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</Words>
  <Characters>75</Characters>
  <Lines>1</Lines>
  <Paragraphs>1</Paragraphs>
  <TotalTime>99</TotalTime>
  <ScaleCrop>false</ScaleCrop>
  <LinksUpToDate>false</LinksUpToDate>
  <CharactersWithSpaces>87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2015-08-11T07:49:00Z</cp:lastPrinted>
  <dcterms:modified xsi:type="dcterms:W3CDTF">2025-03-18T00:19:34Z</dcterms:modified>
  <dc:title>专业技术工作实例表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F4D27DBDF85D49A5BA77F60578AACE00</vt:lpwstr>
  </property>
</Properties>
</file>